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7F30" w14:textId="05DAFFDE" w:rsidR="00E4058B" w:rsidRDefault="0045352B" w:rsidP="002464D6">
      <w:pPr>
        <w:jc w:val="center"/>
        <w:rPr>
          <w:rFonts w:ascii="Arial" w:eastAsia="Times New Roman" w:hAnsi="Arial" w:cs="Arial"/>
          <w:noProof/>
          <w:sz w:val="60"/>
          <w:szCs w:val="24"/>
          <w:lang w:eastAsia="it-IT"/>
        </w:rPr>
      </w:pPr>
      <w:r>
        <w:rPr>
          <w:rFonts w:ascii="Arial" w:eastAsia="Times New Roman" w:hAnsi="Arial" w:cs="Arial"/>
          <w:noProof/>
          <w:sz w:val="60"/>
          <w:szCs w:val="24"/>
          <w:lang w:eastAsia="it-IT"/>
        </w:rPr>
        <w:drawing>
          <wp:inline distT="0" distB="0" distL="0" distR="0" wp14:anchorId="1B512DDD" wp14:editId="13858F66">
            <wp:extent cx="3712845" cy="1859280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43252" w14:textId="77777777" w:rsidR="00F83B63" w:rsidRDefault="00F83B63">
      <w:pPr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1A4B647C" w14:textId="77777777" w:rsidR="00F83B63" w:rsidRDefault="00F83B63" w:rsidP="00F83B63">
      <w:pPr>
        <w:jc w:val="center"/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595AA3B7" w14:textId="11E1B786" w:rsidR="00007601" w:rsidRPr="00445A5E" w:rsidRDefault="00007601" w:rsidP="00007601">
      <w:pPr>
        <w:jc w:val="center"/>
        <w:rPr>
          <w:rFonts w:ascii="Arial" w:eastAsia="Times New Roman" w:hAnsi="Arial" w:cs="Arial"/>
          <w:noProof/>
          <w:color w:val="17365D"/>
          <w:sz w:val="44"/>
          <w:szCs w:val="44"/>
          <w:lang w:eastAsia="it-IT"/>
        </w:rPr>
      </w:pPr>
      <w:r w:rsidRPr="00445A5E">
        <w:rPr>
          <w:rFonts w:ascii="Arial" w:eastAsia="Times New Roman" w:hAnsi="Arial" w:cs="Arial"/>
          <w:noProof/>
          <w:color w:val="17365D"/>
          <w:sz w:val="44"/>
          <w:szCs w:val="44"/>
          <w:lang w:eastAsia="it-IT"/>
        </w:rPr>
        <w:t xml:space="preserve">Allegato 7) al bilancio d’esercizio </w:t>
      </w:r>
      <w:r w:rsidR="009F7E53">
        <w:rPr>
          <w:rFonts w:ascii="Arial" w:eastAsia="Times New Roman" w:hAnsi="Arial" w:cs="Arial"/>
          <w:noProof/>
          <w:color w:val="17365D"/>
          <w:sz w:val="44"/>
          <w:szCs w:val="44"/>
          <w:lang w:eastAsia="it-IT"/>
        </w:rPr>
        <w:t>202</w:t>
      </w:r>
      <w:r w:rsidR="00BD0718">
        <w:rPr>
          <w:rFonts w:ascii="Arial" w:eastAsia="Times New Roman" w:hAnsi="Arial" w:cs="Arial"/>
          <w:noProof/>
          <w:color w:val="17365D"/>
          <w:sz w:val="44"/>
          <w:szCs w:val="44"/>
          <w:lang w:eastAsia="it-IT"/>
        </w:rPr>
        <w:t>2</w:t>
      </w:r>
    </w:p>
    <w:p w14:paraId="054785F1" w14:textId="77777777" w:rsidR="00007601" w:rsidRPr="00445A5E" w:rsidRDefault="00007601" w:rsidP="00007601">
      <w:pPr>
        <w:jc w:val="center"/>
        <w:rPr>
          <w:rFonts w:ascii="Arial" w:eastAsia="Times New Roman" w:hAnsi="Arial" w:cs="Arial"/>
          <w:noProof/>
          <w:color w:val="17365D"/>
          <w:sz w:val="40"/>
          <w:szCs w:val="40"/>
          <w:lang w:eastAsia="it-IT"/>
        </w:rPr>
      </w:pPr>
      <w:r w:rsidRPr="00445A5E">
        <w:rPr>
          <w:rFonts w:ascii="Arial" w:eastAsia="Times New Roman" w:hAnsi="Arial" w:cs="Arial"/>
          <w:noProof/>
          <w:color w:val="17365D"/>
          <w:sz w:val="40"/>
          <w:szCs w:val="40"/>
          <w:lang w:eastAsia="it-IT"/>
        </w:rPr>
        <w:t>Relazione sull’attestazione delle transazioni commerciali effettuate oltre la scadenza</w:t>
      </w:r>
    </w:p>
    <w:p w14:paraId="23EA1597" w14:textId="77777777" w:rsidR="00007601" w:rsidRPr="00445A5E" w:rsidRDefault="00007601" w:rsidP="00007601">
      <w:pPr>
        <w:rPr>
          <w:rFonts w:ascii="Arial" w:eastAsia="Times New Roman" w:hAnsi="Arial" w:cs="Arial"/>
          <w:noProof/>
          <w:color w:val="17365D"/>
          <w:sz w:val="28"/>
          <w:szCs w:val="28"/>
          <w:lang w:eastAsia="it-IT"/>
        </w:rPr>
      </w:pPr>
      <w:r w:rsidRPr="00445A5E">
        <w:rPr>
          <w:rFonts w:ascii="Arial" w:eastAsia="Times New Roman" w:hAnsi="Arial" w:cs="Arial"/>
          <w:noProof/>
          <w:color w:val="17365D"/>
          <w:sz w:val="28"/>
          <w:szCs w:val="28"/>
          <w:lang w:eastAsia="it-IT"/>
        </w:rPr>
        <w:t xml:space="preserve">       (art. 41 DL 02.04.2014 n. 66, convertito dalla legge 23.06.2014 n. 89)</w:t>
      </w:r>
    </w:p>
    <w:p w14:paraId="664B0DAE" w14:textId="77777777" w:rsidR="00F83B63" w:rsidRDefault="00F83B63">
      <w:pPr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6858C585" w14:textId="77777777" w:rsidR="00F83B63" w:rsidRDefault="00F83B63">
      <w:pPr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309E5C14" w14:textId="77777777" w:rsidR="00F83B63" w:rsidRDefault="00F83B63">
      <w:pPr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463F4029" w14:textId="77777777" w:rsidR="00F83B63" w:rsidRDefault="00F83B63">
      <w:pPr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038D3705" w14:textId="77777777" w:rsidR="00F83B63" w:rsidRDefault="00F83B63">
      <w:pPr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5B84714A" w14:textId="77777777" w:rsidR="00F83B63" w:rsidRDefault="00F83B63">
      <w:pPr>
        <w:rPr>
          <w:rFonts w:ascii="Arial" w:eastAsia="Times New Roman" w:hAnsi="Arial" w:cs="Arial"/>
          <w:noProof/>
          <w:sz w:val="32"/>
          <w:szCs w:val="32"/>
          <w:lang w:eastAsia="it-IT"/>
        </w:rPr>
      </w:pPr>
    </w:p>
    <w:p w14:paraId="02FAFFC0" w14:textId="77777777" w:rsidR="00F83B63" w:rsidRDefault="00F83B63">
      <w:pPr>
        <w:rPr>
          <w:rFonts w:ascii="Arial" w:eastAsia="Times New Roman" w:hAnsi="Arial" w:cs="Arial"/>
          <w:noProof/>
          <w:sz w:val="32"/>
          <w:szCs w:val="32"/>
          <w:lang w:eastAsia="it-IT"/>
        </w:rPr>
      </w:pPr>
    </w:p>
    <w:p w14:paraId="72321062" w14:textId="0A7DCD07" w:rsidR="00007601" w:rsidRPr="00445A5E" w:rsidRDefault="00007601" w:rsidP="00007601">
      <w:pPr>
        <w:spacing w:after="0" w:line="360" w:lineRule="auto"/>
        <w:jc w:val="both"/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</w:pPr>
      <w:r w:rsidRPr="00445A5E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lastRenderedPageBreak/>
        <w:t>In conformità all’art. 41 c.1 del DL 66/2014 e in ottemperanza alla circolare DAF ACI n. 935 del 29/01/2015, si evidenzia che al 31/12/</w:t>
      </w:r>
      <w:r w:rsidR="009F7E53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202</w:t>
      </w:r>
      <w:r w:rsidR="00BD0718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2</w:t>
      </w:r>
      <w:r w:rsidRPr="00445A5E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 xml:space="preserve"> </w:t>
      </w:r>
      <w:r w:rsidR="003B4898" w:rsidRPr="003B4898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i pagamenti relativi alle transazioni commerciali, la cui verifica tecnico/amministrativa è risultata regolare, sono stati effettuati entro i termini pattuiti con i fornitori o in anticipo rispetto al limite massimo di 30 gg ricevimento fattura.</w:t>
      </w:r>
    </w:p>
    <w:p w14:paraId="05AB832F" w14:textId="77777777" w:rsidR="003B4898" w:rsidRDefault="003B4898" w:rsidP="00007601">
      <w:pPr>
        <w:spacing w:after="0" w:line="360" w:lineRule="auto"/>
        <w:jc w:val="both"/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</w:pPr>
    </w:p>
    <w:p w14:paraId="1FD444C5" w14:textId="77777777" w:rsidR="00007601" w:rsidRPr="003B4898" w:rsidRDefault="00007601" w:rsidP="00007601">
      <w:pPr>
        <w:spacing w:after="0" w:line="360" w:lineRule="auto"/>
        <w:jc w:val="both"/>
        <w:rPr>
          <w:rFonts w:ascii="Arial" w:eastAsia="Times New Roman" w:hAnsi="Arial" w:cs="Arial"/>
          <w:b/>
          <w:color w:val="17365D"/>
          <w:sz w:val="24"/>
          <w:szCs w:val="24"/>
          <w:u w:val="single"/>
          <w:lang w:eastAsia="it-IT" w:bidi="he-IL"/>
        </w:rPr>
      </w:pPr>
      <w:r w:rsidRPr="003B4898">
        <w:rPr>
          <w:rFonts w:ascii="Arial" w:eastAsia="Times New Roman" w:hAnsi="Arial" w:cs="Arial"/>
          <w:b/>
          <w:color w:val="17365D"/>
          <w:sz w:val="24"/>
          <w:szCs w:val="24"/>
          <w:u w:val="single"/>
          <w:lang w:eastAsia="it-IT" w:bidi="he-IL"/>
        </w:rPr>
        <w:t>Indicatore annuale di tempestività dei pagamenti</w:t>
      </w:r>
    </w:p>
    <w:p w14:paraId="2D5EF0DD" w14:textId="77777777" w:rsidR="00007601" w:rsidRPr="00445A5E" w:rsidRDefault="00007601" w:rsidP="00007601">
      <w:pPr>
        <w:spacing w:after="0" w:line="360" w:lineRule="auto"/>
        <w:jc w:val="both"/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</w:pPr>
    </w:p>
    <w:p w14:paraId="2E4B2A13" w14:textId="77777777" w:rsidR="00007601" w:rsidRPr="00445A5E" w:rsidRDefault="00007601" w:rsidP="00007601">
      <w:pPr>
        <w:spacing w:after="0" w:line="360" w:lineRule="auto"/>
        <w:jc w:val="both"/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</w:pPr>
      <w:r w:rsidRPr="00445A5E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Secondo quanto previsto dal DPCM 22 settembre 2014 ed in particolare l’art. 9, l’indicatore annuale di tempestività dei pagamenti è calcolato come la somma, per ciascuna fattura emessa a titolo di corrispettivo di una transazione commerciale, dei giorni effettivi intercorrenti tra la data di scadenza della fattura o richiesta equivalente di pagamento (accertata la regolarità documentale e contributiva) e la data di pagamento ai fornitori moltiplicata per l’importo dovuto, rapportata alla somma degli importi pagati nel periodo di riferimento. Tale indicatore è stato determinato escludendo le fatture per le quali il rilascio del documento Unico di Regolarità Contributiva (DURC) è risultato tardivo, nonché quelle interessate dall’attivazione dell’intervento sostitutivo della stazione appaltante in caso di DURC irregolare ai sensi dell’art. 4 del DPR 5 ottobre 2010 n. 207.</w:t>
      </w:r>
    </w:p>
    <w:p w14:paraId="1499E1F0" w14:textId="77777777" w:rsidR="000F5DA1" w:rsidRDefault="000F5DA1" w:rsidP="000076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 w:bidi="he-IL"/>
        </w:rPr>
      </w:pPr>
    </w:p>
    <w:p w14:paraId="6E7D6F27" w14:textId="61F99F1E" w:rsidR="00FC57CD" w:rsidRPr="00191121" w:rsidRDefault="007B4C5B" w:rsidP="003B4898">
      <w:pPr>
        <w:spacing w:after="0" w:line="360" w:lineRule="auto"/>
        <w:jc w:val="both"/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</w:pPr>
      <w:r w:rsidRPr="007B4C5B">
        <w:drawing>
          <wp:inline distT="0" distB="0" distL="0" distR="0" wp14:anchorId="41341703" wp14:editId="4CCF8C31">
            <wp:extent cx="6120130" cy="3578225"/>
            <wp:effectExtent l="0" t="0" r="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601">
        <w:rPr>
          <w:rFonts w:ascii="Arial" w:eastAsia="Times New Roman" w:hAnsi="Arial" w:cs="Arial"/>
          <w:sz w:val="24"/>
          <w:szCs w:val="24"/>
          <w:lang w:eastAsia="it-IT" w:bidi="he-IL"/>
        </w:rPr>
        <w:br w:type="page"/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lastRenderedPageBreak/>
        <w:t xml:space="preserve">Lo stock del debito </w:t>
      </w:r>
      <w:r w:rsidR="001973AA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 xml:space="preserve">commerciale </w:t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scaduto al 31/12/202</w:t>
      </w:r>
      <w:r w:rsidR="00BD071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2</w:t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 xml:space="preserve"> è pari a </w:t>
      </w:r>
      <w:r w:rsidR="001973AA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zero</w:t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 xml:space="preserve">, cosi come risulta dal calcolo </w:t>
      </w:r>
      <w:r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risultante nell’aerea RGS P</w:t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 xml:space="preserve">iattaforma </w:t>
      </w:r>
      <w:r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Crediti Commer</w:t>
      </w:r>
      <w:r w:rsidR="00114FD7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cial</w:t>
      </w:r>
      <w:r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i (PCC)</w:t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 xml:space="preserve"> aggiornato al </w:t>
      </w:r>
      <w:r w:rsidR="001973AA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02</w:t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/04/202</w:t>
      </w:r>
      <w:r w:rsidR="00BD071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3</w:t>
      </w:r>
      <w:r w:rsidR="003B4898" w:rsidRPr="00191121">
        <w:rPr>
          <w:rFonts w:ascii="Arial" w:eastAsia="Times New Roman" w:hAnsi="Arial" w:cs="Arial"/>
          <w:color w:val="17365D"/>
          <w:sz w:val="24"/>
          <w:szCs w:val="24"/>
          <w:lang w:eastAsia="it-IT" w:bidi="he-IL"/>
        </w:rPr>
        <w:t>:</w:t>
      </w:r>
    </w:p>
    <w:p w14:paraId="5D1E297F" w14:textId="2B4E8329" w:rsidR="00F83B63" w:rsidRPr="00F83B63" w:rsidRDefault="001973AA" w:rsidP="00F83B6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 w:bidi="he-IL"/>
        </w:rPr>
      </w:pPr>
      <w:r>
        <w:rPr>
          <w:noProof/>
        </w:rPr>
        <w:drawing>
          <wp:inline distT="0" distB="0" distL="0" distR="0" wp14:anchorId="7E0A89E4" wp14:editId="29F4894C">
            <wp:extent cx="6120130" cy="33997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AD090" w14:textId="617069EE" w:rsidR="00F83B63" w:rsidRPr="00445A5E" w:rsidRDefault="0045352B" w:rsidP="00F83B63">
      <w:pPr>
        <w:suppressAutoHyphens/>
        <w:spacing w:before="240" w:after="0" w:line="240" w:lineRule="auto"/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</w:pPr>
      <w:r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Piacenza</w:t>
      </w:r>
      <w:r w:rsidR="00F83B63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 xml:space="preserve"> li, </w:t>
      </w:r>
      <w:r w:rsidR="00114FD7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__</w:t>
      </w:r>
      <w:r w:rsidR="004D5690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/0</w:t>
      </w:r>
      <w:r w:rsidR="003B4898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4</w:t>
      </w:r>
      <w:r w:rsidR="004D5690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/202</w:t>
      </w:r>
      <w:r w:rsidR="00191121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3</w:t>
      </w:r>
    </w:p>
    <w:p w14:paraId="2A9025F1" w14:textId="77777777" w:rsidR="00F83B63" w:rsidRPr="00445A5E" w:rsidRDefault="00F83B63" w:rsidP="00F83B63">
      <w:pPr>
        <w:suppressAutoHyphens/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</w:pPr>
    </w:p>
    <w:p w14:paraId="770C4B2A" w14:textId="77777777" w:rsidR="002A5A30" w:rsidRPr="00445A5E" w:rsidRDefault="002A5A30" w:rsidP="00F83B63">
      <w:pPr>
        <w:suppressAutoHyphens/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</w:pPr>
    </w:p>
    <w:p w14:paraId="2DAC8870" w14:textId="56306274" w:rsidR="00F83B63" w:rsidRPr="00445A5E" w:rsidRDefault="00F83B63" w:rsidP="00F83B63">
      <w:pPr>
        <w:suppressAutoHyphens/>
        <w:spacing w:after="0" w:line="240" w:lineRule="auto"/>
        <w:ind w:left="709"/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</w:pPr>
      <w:r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  <w:t xml:space="preserve">Il </w:t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Direttore</w:t>
      </w:r>
      <w:r w:rsidR="00114FD7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 xml:space="preserve"> ad Interim</w:t>
      </w:r>
      <w:r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  <w:t xml:space="preserve">      </w:t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</w:r>
      <w:r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 xml:space="preserve">   Il Presidente</w:t>
      </w:r>
    </w:p>
    <w:p w14:paraId="4EFB0608" w14:textId="47833F6A" w:rsidR="00F83B63" w:rsidRPr="00445A5E" w:rsidRDefault="00114FD7" w:rsidP="00114FD7">
      <w:pPr>
        <w:suppressAutoHyphens/>
        <w:spacing w:after="0" w:line="240" w:lineRule="auto"/>
        <w:ind w:left="1416" w:firstLine="708"/>
        <w:rPr>
          <w:rFonts w:ascii="Arial" w:eastAsia="Times New Roman" w:hAnsi="Arial" w:cs="Arial"/>
          <w:color w:val="17365D"/>
          <w:kern w:val="1"/>
          <w:sz w:val="24"/>
          <w:szCs w:val="24"/>
          <w:lang w:eastAsia="he-IL" w:bidi="he-IL"/>
        </w:rPr>
      </w:pPr>
      <w:r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Stefano Zilla</w:t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</w:r>
      <w:r w:rsidR="00BD0718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ab/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 xml:space="preserve"> </w:t>
      </w:r>
      <w:r w:rsidR="004D5690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 xml:space="preserve"> </w:t>
      </w:r>
      <w:r w:rsidR="002464D6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 xml:space="preserve">         </w:t>
      </w:r>
      <w:r w:rsidR="00D17ED5" w:rsidRPr="00445A5E"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 xml:space="preserve"> </w:t>
      </w:r>
      <w:r>
        <w:rPr>
          <w:rFonts w:ascii="Arial" w:eastAsia="Times New Roman" w:hAnsi="Arial" w:cs="Arial"/>
          <w:color w:val="17365D"/>
          <w:sz w:val="24"/>
          <w:szCs w:val="24"/>
          <w:lang w:eastAsia="he-IL" w:bidi="he-IL"/>
        </w:rPr>
        <w:t>Michele Rosato</w:t>
      </w:r>
      <w:r w:rsidR="00F83B63" w:rsidRPr="00445A5E">
        <w:rPr>
          <w:rFonts w:ascii="Arial" w:eastAsia="Times New Roman" w:hAnsi="Arial" w:cs="Arial"/>
          <w:color w:val="17365D"/>
          <w:kern w:val="1"/>
          <w:sz w:val="24"/>
          <w:szCs w:val="24"/>
          <w:lang w:eastAsia="he-IL" w:bidi="he-IL"/>
        </w:rPr>
        <w:t xml:space="preserve"> </w:t>
      </w:r>
    </w:p>
    <w:p w14:paraId="0F23367A" w14:textId="77777777" w:rsidR="00F83B63" w:rsidRPr="00445A5E" w:rsidRDefault="00F83B63" w:rsidP="00F83B63">
      <w:pPr>
        <w:suppressAutoHyphens/>
        <w:spacing w:after="0" w:line="240" w:lineRule="auto"/>
        <w:ind w:left="709"/>
        <w:jc w:val="both"/>
        <w:rPr>
          <w:color w:val="17365D"/>
        </w:rPr>
      </w:pPr>
      <w:r w:rsidRPr="00445A5E">
        <w:rPr>
          <w:rFonts w:ascii="Arial" w:eastAsia="Times New Roman" w:hAnsi="Arial" w:cs="Arial"/>
          <w:color w:val="17365D"/>
          <w:kern w:val="1"/>
          <w:sz w:val="24"/>
          <w:szCs w:val="24"/>
          <w:lang w:eastAsia="he-IL" w:bidi="he-IL"/>
        </w:rPr>
        <w:t xml:space="preserve">  </w:t>
      </w:r>
    </w:p>
    <w:p w14:paraId="54EDAA6E" w14:textId="77777777" w:rsidR="00F83B63" w:rsidRPr="00F83B63" w:rsidRDefault="00F83B63">
      <w:pPr>
        <w:rPr>
          <w:rFonts w:ascii="Arial" w:eastAsia="Times New Roman" w:hAnsi="Arial" w:cs="Arial"/>
          <w:noProof/>
          <w:sz w:val="32"/>
          <w:szCs w:val="32"/>
          <w:lang w:eastAsia="it-IT"/>
        </w:rPr>
      </w:pPr>
    </w:p>
    <w:p w14:paraId="3CB01C12" w14:textId="77777777" w:rsidR="00F83B63" w:rsidRDefault="00F83B63">
      <w:pPr>
        <w:rPr>
          <w:rFonts w:ascii="Arial" w:eastAsia="Times New Roman" w:hAnsi="Arial" w:cs="Arial"/>
          <w:noProof/>
          <w:sz w:val="60"/>
          <w:szCs w:val="24"/>
          <w:lang w:eastAsia="it-IT"/>
        </w:rPr>
      </w:pPr>
    </w:p>
    <w:p w14:paraId="4B31BDC6" w14:textId="77777777" w:rsidR="00F83B63" w:rsidRDefault="00F83B63"/>
    <w:sectPr w:rsidR="00F83B63" w:rsidSect="00E40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13E49" w14:textId="77777777" w:rsidR="005B401E" w:rsidRDefault="005B401E">
      <w:pPr>
        <w:spacing w:after="0" w:line="240" w:lineRule="auto"/>
      </w:pPr>
      <w:r>
        <w:separator/>
      </w:r>
    </w:p>
  </w:endnote>
  <w:endnote w:type="continuationSeparator" w:id="0">
    <w:p w14:paraId="028FD381" w14:textId="77777777" w:rsidR="005B401E" w:rsidRDefault="005B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27CE" w14:textId="77777777" w:rsidR="005B401E" w:rsidRDefault="005B401E">
      <w:pPr>
        <w:spacing w:after="0" w:line="240" w:lineRule="auto"/>
      </w:pPr>
      <w:r>
        <w:separator/>
      </w:r>
    </w:p>
  </w:footnote>
  <w:footnote w:type="continuationSeparator" w:id="0">
    <w:p w14:paraId="0B266233" w14:textId="77777777" w:rsidR="005B401E" w:rsidRDefault="005B4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63"/>
    <w:rsid w:val="00000C6F"/>
    <w:rsid w:val="00001FD6"/>
    <w:rsid w:val="00004031"/>
    <w:rsid w:val="00007196"/>
    <w:rsid w:val="00007601"/>
    <w:rsid w:val="000771D3"/>
    <w:rsid w:val="0008616F"/>
    <w:rsid w:val="000B421C"/>
    <w:rsid w:val="000C4B20"/>
    <w:rsid w:val="000C662A"/>
    <w:rsid w:val="000D2B59"/>
    <w:rsid w:val="000F1936"/>
    <w:rsid w:val="000F5DA1"/>
    <w:rsid w:val="000F6E3E"/>
    <w:rsid w:val="0010015D"/>
    <w:rsid w:val="00100FEE"/>
    <w:rsid w:val="00114FD7"/>
    <w:rsid w:val="001855BC"/>
    <w:rsid w:val="00191121"/>
    <w:rsid w:val="001973AA"/>
    <w:rsid w:val="0019742C"/>
    <w:rsid w:val="001A78B7"/>
    <w:rsid w:val="00215F53"/>
    <w:rsid w:val="00230720"/>
    <w:rsid w:val="002464D6"/>
    <w:rsid w:val="0024702F"/>
    <w:rsid w:val="002751F3"/>
    <w:rsid w:val="0027724C"/>
    <w:rsid w:val="00277B90"/>
    <w:rsid w:val="0029769C"/>
    <w:rsid w:val="002A5A30"/>
    <w:rsid w:val="002C1F9E"/>
    <w:rsid w:val="002F5A68"/>
    <w:rsid w:val="00316FE9"/>
    <w:rsid w:val="003249F9"/>
    <w:rsid w:val="00351418"/>
    <w:rsid w:val="003814C1"/>
    <w:rsid w:val="003B4898"/>
    <w:rsid w:val="003B6C99"/>
    <w:rsid w:val="003C682C"/>
    <w:rsid w:val="003D34AD"/>
    <w:rsid w:val="003D425A"/>
    <w:rsid w:val="003E1207"/>
    <w:rsid w:val="003F4B1F"/>
    <w:rsid w:val="00436A64"/>
    <w:rsid w:val="00441BB7"/>
    <w:rsid w:val="00444685"/>
    <w:rsid w:val="00445A5E"/>
    <w:rsid w:val="004466DF"/>
    <w:rsid w:val="0045352B"/>
    <w:rsid w:val="0045433E"/>
    <w:rsid w:val="00465C8E"/>
    <w:rsid w:val="00492006"/>
    <w:rsid w:val="00494ADC"/>
    <w:rsid w:val="004D5690"/>
    <w:rsid w:val="004F5CA4"/>
    <w:rsid w:val="005170D5"/>
    <w:rsid w:val="00533D2D"/>
    <w:rsid w:val="005442AD"/>
    <w:rsid w:val="0055613A"/>
    <w:rsid w:val="005B401E"/>
    <w:rsid w:val="005E58B0"/>
    <w:rsid w:val="00603945"/>
    <w:rsid w:val="00643220"/>
    <w:rsid w:val="00690604"/>
    <w:rsid w:val="006927D4"/>
    <w:rsid w:val="00693C3B"/>
    <w:rsid w:val="006D6E56"/>
    <w:rsid w:val="006E08B8"/>
    <w:rsid w:val="006F0974"/>
    <w:rsid w:val="006F5712"/>
    <w:rsid w:val="00701DDB"/>
    <w:rsid w:val="0070587D"/>
    <w:rsid w:val="00725CF2"/>
    <w:rsid w:val="00732436"/>
    <w:rsid w:val="007539F9"/>
    <w:rsid w:val="00755539"/>
    <w:rsid w:val="00765E20"/>
    <w:rsid w:val="007B4C5B"/>
    <w:rsid w:val="007C1AC9"/>
    <w:rsid w:val="00821D5B"/>
    <w:rsid w:val="00822080"/>
    <w:rsid w:val="0082462C"/>
    <w:rsid w:val="00827573"/>
    <w:rsid w:val="00831470"/>
    <w:rsid w:val="00831D8E"/>
    <w:rsid w:val="00833E07"/>
    <w:rsid w:val="0085279A"/>
    <w:rsid w:val="00853D36"/>
    <w:rsid w:val="0085754E"/>
    <w:rsid w:val="008B62D8"/>
    <w:rsid w:val="008C16F7"/>
    <w:rsid w:val="008D2C8F"/>
    <w:rsid w:val="008F3C38"/>
    <w:rsid w:val="00904E70"/>
    <w:rsid w:val="00920F6B"/>
    <w:rsid w:val="00925BAD"/>
    <w:rsid w:val="0092667B"/>
    <w:rsid w:val="00942357"/>
    <w:rsid w:val="0096571C"/>
    <w:rsid w:val="00973536"/>
    <w:rsid w:val="00984E2E"/>
    <w:rsid w:val="009A5052"/>
    <w:rsid w:val="009C3E8F"/>
    <w:rsid w:val="009E1204"/>
    <w:rsid w:val="009E1F86"/>
    <w:rsid w:val="009E5D63"/>
    <w:rsid w:val="009F7E53"/>
    <w:rsid w:val="00A003F1"/>
    <w:rsid w:val="00A00EC7"/>
    <w:rsid w:val="00A22278"/>
    <w:rsid w:val="00A336AA"/>
    <w:rsid w:val="00A54EC6"/>
    <w:rsid w:val="00A873D4"/>
    <w:rsid w:val="00A90658"/>
    <w:rsid w:val="00A95EB4"/>
    <w:rsid w:val="00AF1611"/>
    <w:rsid w:val="00AF18E9"/>
    <w:rsid w:val="00B07A45"/>
    <w:rsid w:val="00B42622"/>
    <w:rsid w:val="00B45D8D"/>
    <w:rsid w:val="00B75009"/>
    <w:rsid w:val="00B97F48"/>
    <w:rsid w:val="00BA75F3"/>
    <w:rsid w:val="00BD0718"/>
    <w:rsid w:val="00BD2DBC"/>
    <w:rsid w:val="00BE3D86"/>
    <w:rsid w:val="00BF33EA"/>
    <w:rsid w:val="00C01A23"/>
    <w:rsid w:val="00C35165"/>
    <w:rsid w:val="00C51A31"/>
    <w:rsid w:val="00C61CE0"/>
    <w:rsid w:val="00C639EF"/>
    <w:rsid w:val="00C86F21"/>
    <w:rsid w:val="00C97135"/>
    <w:rsid w:val="00CA576A"/>
    <w:rsid w:val="00CB7450"/>
    <w:rsid w:val="00CD4CED"/>
    <w:rsid w:val="00CE5BFA"/>
    <w:rsid w:val="00D17ED5"/>
    <w:rsid w:val="00D221AB"/>
    <w:rsid w:val="00D8772A"/>
    <w:rsid w:val="00D9302F"/>
    <w:rsid w:val="00D96C7B"/>
    <w:rsid w:val="00DA2BAD"/>
    <w:rsid w:val="00DA4B0E"/>
    <w:rsid w:val="00DB146F"/>
    <w:rsid w:val="00DE1E91"/>
    <w:rsid w:val="00DF1C68"/>
    <w:rsid w:val="00DF4F77"/>
    <w:rsid w:val="00DF6A93"/>
    <w:rsid w:val="00E017D1"/>
    <w:rsid w:val="00E4058B"/>
    <w:rsid w:val="00E51C2C"/>
    <w:rsid w:val="00E6383E"/>
    <w:rsid w:val="00E653AA"/>
    <w:rsid w:val="00E70DC4"/>
    <w:rsid w:val="00EA7417"/>
    <w:rsid w:val="00EC648C"/>
    <w:rsid w:val="00EF18F1"/>
    <w:rsid w:val="00F0752F"/>
    <w:rsid w:val="00F126DF"/>
    <w:rsid w:val="00F60381"/>
    <w:rsid w:val="00F745B7"/>
    <w:rsid w:val="00F83B63"/>
    <w:rsid w:val="00F84779"/>
    <w:rsid w:val="00FA1F1F"/>
    <w:rsid w:val="00FA6F9B"/>
    <w:rsid w:val="00FB5D12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4AD4"/>
  <w15:docId w15:val="{2854DEAF-73AC-41A9-B8CD-40458C4E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058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83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 servizi sondrio</dc:creator>
  <cp:lastModifiedBy>Taiani Rosaria</cp:lastModifiedBy>
  <cp:revision>7</cp:revision>
  <dcterms:created xsi:type="dcterms:W3CDTF">2021-03-23T16:28:00Z</dcterms:created>
  <dcterms:modified xsi:type="dcterms:W3CDTF">2023-05-07T20:42:00Z</dcterms:modified>
</cp:coreProperties>
</file>